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59</w:t>
      </w:r>
    </w:p>
    <w:p>
      <w:r>
        <w:t>Bundesgericht (BGE), 2010-11-30, DE</w:t>
      </w:r>
    </w:p>
    <w:p>
      <w:r>
        <w:rPr>
          <w:b/>
        </w:rPr>
        <w:t xml:space="preserve">Quelle: </w:t>
      </w:r>
      <w:r>
        <w:t>https://mcp.opencaselaw.ch/entscheid/bge_137 III 59</w:t>
      </w:r>
    </w:p>
    <w:p>
      <w:r>
        <w:t>FR: ATF 137 III 59</w:t>
      </w:r>
    </w:p>
    <w:p>
      <w:r>
        <w:t>IT: DTF 137 III 59</w:t>
      </w:r>
    </w:p>
    <w:p>
      <w:pPr>
        <w:pStyle w:val="Heading2"/>
      </w:pPr>
      <w:r>
        <w:t>Regeste</w:t>
      </w:r>
    </w:p>
    <w:p>
      <w:r>
        <w:t>Regeste Bemessung des Unterhaltsbeitrages (Art. 285 ZGB); Schutz des Existenzminimums des Unterhaltsschuldners; Gleichbehandlung unterhaltsberechtigter Kinder. Bei der Bemessung des Unterhaltsbeitrages nach Art. 285 ZGB kann der wiederverheiratete Unterhaltsschuldner die Sicherung des Existenzminimums nur für seine eigene Person beanspruchen, nicht aber für seine gesamte zweite Familie. Ermittlung dieses Existenzminimums unter Wahrung der Gleichbehandlung aller unterhaltsberechtigten Kinder. Verteilung einer allfälligen Unterdeckung auf alle betroffenen Kinder des Unterhaltsschuldners (E. 4.2 und 4.3).</w:t>
      </w:r>
    </w:p>
    <w:p>
      <w:pPr>
        <w:pStyle w:val="Heading2"/>
      </w:pPr>
      <w:r>
        <w:t>Erwägungen</w:t>
      </w:r>
    </w:p>
    <w:p>
      <w:r>
        <w:rPr>
          <w:b/>
        </w:rPr>
        <w:t>E. 4</w:t>
      </w:r>
    </w:p>
    <w:p>
      <w:r>
        <w:t>Die Beschwerdeführerin beanstandet weiter, die Unterhaltsregelung, die zum einen den Notbedarf der Kinder des Beschwerdegegners aus seiner zweiten Ehe decke und zum andern den Beschwerdegegner von der Unterhaltspflicht gegenüber seinen unmündigen Kindern aus erster Ehe entbinde, verstosse gegen das in Art. 8 Abs. 2 BV enthaltene verfassungsrechtliche Diskriminierungsverbot. Die Befreiung des Beschwerdegegners von seiner Unterhaltspflicht würdige die erstehelichen Kinder zu Kindern "zweiter Klasse" herab und wirke sich nicht nur psychisch, sondern auch materiell diskriminierend aus: Mangels Alimentenbevorschussung seien die Kinder aus erster Ehe auf Sozialhilfeleistungen angewiesen, die bei verbesserten finanziellen Verhältnissen zurückerstattet werden müssen. Zur Begründung ihrer Rüge führt die Beschwerdeführerin weiter aus, allein der Umstand, dass der Beschwerdegegner mit seinen Kindern aus zweiter Ehe zusammenlebt, sei kein sachlicher Grund, die gemeinsamen Kinder aus erster Ehe unterhaltsrechtlich schlechter zu stellen. Auch die Maxime, wonach familienrechtliche Unterhaltspflichten durch die finanzielle Leistungsfähigkeit des Unterhaltsschuldners begrenzt sind, vermöge die qualifizierte Ungleichbehandlung nicht zu rechtfertigen. Vielmehr hätten mehrere Kinder des gleichen Elternteils mit Bezug auf die elterliche Unterhaltspflicht Anspruch auf Gleichbehandlung.</w:t>
      </w:r>
    </w:p>
    <w:p>
      <w:r>
        <w:rPr>
          <w:b/>
        </w:rPr>
        <w:t>E. 4.1</w:t>
      </w:r>
    </w:p>
    <w:p>
      <w:r>
        <w:t>Das in Art. 8 Abs. 2 BV enthaltene allgemeine Diskriminierungsverbot entfaltet seine Schutzwirkung grundsätzlich nur im Verhältnis zwischen Bürger und Staat. Die Vorschrift hat keine unmittelbare Drittwirkung in den Beziehungen zwischen Privatpersonen, weshalb sich die Beschwerdeführerin in ihrer Beschwerde, die sich gegen einen Entscheid in einer Streitigkeit zwischen Privaten richtet, grundsätzlich nicht auf diese Vorschrift berufen kann. Indessen sind bei der Auslegung der Vorschriften des Zivilrechts die besonderen Anforderungen zu berücksichtigen, die sich aus den Grundrechten BGE 137 III 59 S. 62 ergeben. Wie auch aus der Beschwerdeschrift hervorgeht, kommt dem Beschwerdegrund der Verletzung von Art. 8 Abs. 2 BV keine eigenständige Bedeutung zu. Im Ergebnis wirft die Beschwerdeführerin der Vorinstanz nämlich vor, sie habe den Grundsatz der Gleichbehandlung aller unterhaltsberechtigten Kinder, wie er sich aus Art. 285 ZGB ergebe, ohne sachlichen Grund in qualifizierter Weise verletzt und damit die zivilrechtlichen Vorschriften über die Bemessung des Unterhaltsbeitrages offensichtlich falsch angewendet. Mit dieser Begründung verlangt die Beschwerdeführerin, der Unterhalt der erstehelichen Kinder sei dem Beschwerdegegner im analogen Rahmen zum Unterhalt der zweitehelichen Kinder zu überbinden, das heisst in der Höhe des monatlichen Grundbetrages zuzüglich Anteil Krankenkassenprämien.</w:t>
      </w:r>
    </w:p>
    <w:p>
      <w:r>
        <w:rPr>
          <w:b/>
        </w:rPr>
        <w:t>E. 4.2.1</w:t>
      </w:r>
    </w:p>
    <w:p>
      <w:r>
        <w:t>Die Grundsätze zur Bemessung des elterlichen Unterhaltsbeitrages sind in Art. 285 Abs. 1 ZGB geregelt. Nach der Rechtsprechung ergibt sich aus dieser Vorschrift, dass alle unterhaltsberechtigten Kinder eines Elternteils im Verhältnis zu ihren objektiven Bedürfnissen finanziell gleich zu behandeln sind. Ungleiche Unterhaltsbeiträge sind somit nicht von vorneherein ausgeschlossen, bedürfen aber einer besonderen Rechtfertigung ( BGE 126 III 353 E. 2b S. 358 f. mit Hinweisen). Die Höhe des Unterhaltsbeitrages hängt freilich nicht nur von der Leistungsfähigkeit des in die Unterhaltspflicht genommenen, sondern auch von den finanziellen Umständen des obhuts- bzw. sorgeberechtigten Elternteils ab ( BGE 126 III 353 E. 2b S. 359 mit Hinweisen). Über die Schranke der wirtschaftlichen Leistungsfähigkeit des unterhaltspflichtigen Elternteils kann sich das Gericht bei der Bemessung des Unterhaltsbeitrags für die Kinder nach Art. 285 Abs. 1 ZGB aber in aller Regel nicht hinwegsetzen ( BGE 127 III 68 E. 2c S. 70 f.; BGE 123 III 1 E. 3b/bb S. 5 mit Hinweisen). Nach der Rechtsprechung des Bundesgerichts ist dem Rentenschuldner mit Bezug auf alle familienrechtlichen Unterhaltskategorien zumindest das betreibungsrechtliche Existenzminimum stets voll zu belassen (vgl. BGE 126 III 353 E. 1a/aa S. 356, bestätigt in BGE 135 III 66 E. 2 ff. S. 67 ff. mit Hinweisen). Diese Rechtsprechung ist dahingehend zu verdeutlichen, dass der Rentenschuldner lediglich für seine eigene Person die Sicherung der Existenz beanspruchen kann. Er ist also nur im für ihn allein massgeblichen betreibungsrechtlichen Existenzminimum zu schützen. BGE 137 III 59 S. 63</w:t>
      </w:r>
    </w:p>
    <w:p>
      <w:r>
        <w:rPr>
          <w:b/>
        </w:rPr>
        <w:t>E. 4.2.2</w:t>
      </w:r>
    </w:p>
    <w:p>
      <w:r>
        <w:t>Diesem Grundsatz und dem aus Art. 285 ZGB folgenden Gleichbehandlungsprinzip ist insbesondere bei angespannten finanziellen Verhältnissen dadurch Rechnung zu tragen, dass zur Ermittlung der tatsächlichen wirtschaftlichen Leistungsfähigkeit des Rentenschuldners zunächst von dessen betreibungsrechtlichem Grundbetrag auszugehen ist. Massgeblich ist je nach den konkreten Umständen der Grundbetrag für einen alleinstehenden Schuldner, derjenige für einen alleinerziehenden Schuldner oder derjenige für einen verheirateten, in einer eingetragenen Partnerschaft oder als Paar mit Kindern lebenden Schuldner. In den drei zuletzt genannten Fällen ist dem Unterhaltsschuldner jedoch nur die Hälfte des Grundbetrages anzurechnen, denn der (neue) Ehegatte, eingetragene Partner bzw. Lebensgefährte des Rentenschuldners soll gegenüber dessen Kindern jedenfalls nicht privilegiert werden. Zum Grundbetrag sind alsdann die üblichen betreibungsrechtlichen Zuschläge hinzuzuzählen, soweit sie für den Unterhaltsschuldner allein massgeblich sind. Dazu zählen namentlich seine Wohnkosten, seine unumgänglichen Berufsauslagen sowie die Kosten für seine Krankenversicherung und - bei selbständiger Erwerbstätigkeit - für seine Altersvorsorge. Benützt der Unterhaltsschuldner seine Wohnung zusammen mit seinem Ehegatten oder mit anderen erwachsenen Personen, so ist ihm nach Massgabe deren - tatsächlicher oder hypothetischer - wirtschaftlicher Leistungsfähigkeit lediglich ein angemessener Anteil an den gesamten Wohnkosten als eigenes Existenzminimum anzurechnen. Bei der Ermittlung des Existenzminimums des Rentenschuldners sind demnach weder kinderbezogene Positionen (namentlich der betreibungsrechtliche Grundbetrag und die Krankenkassenprämie) der im gleichen Haushalt wohnenden Kinder des Unterhaltsschuldners zu berücksichtigen noch allfällige Unterhaltsbeiträge miteinzubeziehen, die der Unterhaltsschuldner seinen in einem anderen Haushalt lebenden vor- oder ausserehelichen Kindern zu bezahlen hat ( BGE 127 III 68 E. 2c. S. 71; Urteil 5A_352/2010 vom 29. Oktober 2010 E. 6.2.1 mit Hinweisen). Ausser Acht bleiben müssen aber auch diejenigen Positionen, die ausschliesslich den Ehegatten betreffen und für die der Rentenschuldner allenfalls nach den in Art. 163 ff. ZGB enthaltenen Vorschriften aufzukommen hätte, soweit der Ehegatte seinen eigenen Unterhalt nicht aus eigenen Kräften bestreitet bzw. bestreiten kann. Das Gleiche gilt sinngemäss im Falle einer eingetragenen Partnerschaft des Rentenschuldners (vgl. Art. 13 des Partnerschaftsgesetzes vom 18. Juni 2004 [PartG; SR 211.231]). BGE 137 III 59 S. 64</w:t>
      </w:r>
    </w:p>
    <w:p>
      <w:r>
        <w:rPr>
          <w:b/>
        </w:rPr>
        <w:t>E. 4.2.3</w:t>
      </w:r>
    </w:p>
    <w:p>
      <w:r>
        <w:t>Soweit das massgebliche Einkommen des Unterhaltsschuldners sein nach der geschilderten Berechnungsweise (E.4.2.1) ermitteltes eigenes Existenzminimum übersteigt, ist dieser Überschuss zunächst unter alle unterhaltsberechtigten Kinder (nach Massgabe ihrer jeweiligen Bedürfnisse und der Leistungsfähigkeit des anderen Elternteils) zu verteilen; gegebenenfalls muss der Schuldner zu diesem Zweck auch auf Abänderung früherer Urteile klagen, die zu hohe Beiträge festsetzen (Urteile 5A_62/2007 vom 24. August 2008 E. 6.2; 5C.197/2004 vom 9. Februar 2005 E. 3.1; 5C.127/2003 vom 15. Oktober 2003 E. 4.1.4). Vom Bedarf jedes unterhaltsberechtigten Kindes ist dabei in jedem Fall dessen Kinder- oder Ausbildungszulage abzuziehen, denn diese Leistungen, die ausschliesslich für den Unterhalt des Kindes bestimmt sind, werden nach der Rechtsprechung nicht zum Einkommen des bezugsberechtigten Elternteils hinzugezählt, sondern sind bei der Ermittlung des durch den Unterhaltsbeitrag zu deckenden Bedarfs des Kindes vorweg in Abzug zu bringen ( BGE 128 III 305 E. 4b S. 310; Urteil 5A_352/2010 vom 29. Oktober 2010 E. 6.2.1 mit Hinweisen). Reicht der allfällige Überschuss des unterhaltspflichtigen Elternteils nicht aus, um die Bedürfnisse all seiner Kinder zu decken, so ist das Manko auf alle Kinder und somit auf alle betroffenen Familien zu verteilen. Verbleibt überhaupt kein Überschuss, so können auch keine Unterhaltsbeiträge zugesprochen werden.</w:t>
      </w:r>
    </w:p>
    <w:p>
      <w:r>
        <w:rPr>
          <w:b/>
        </w:rPr>
        <w:t>E. 4.2.4</w:t>
      </w:r>
    </w:p>
    <w:p>
      <w:r>
        <w:t>Die erläuterten Grundsätze gelten nicht nur für das aussereheliche Kind, das unterhaltsmässig gleichgestellt werden will wie seine älteren Halbgeschwister aus einer anderen Verbindung seines Vaters. Die Prinzipien sind in gleicher Weise anzuwenden, wenn - wie im vorliegenden Fall - die Gleichbehandlung der älteren Kinder aus der ersten Ehe mit den jüngeren Halbgeschwistern aus der zweiten Ehe desselben Vaters in Frage steht (vgl. Urteil 5A_352/2010 vom 29. Oktober 2010 E. 6.2.1).</w:t>
      </w:r>
    </w:p>
    <w:p>
      <w:r>
        <w:rPr>
          <w:b/>
        </w:rPr>
        <w:t>E. 4.3.1</w:t>
      </w:r>
    </w:p>
    <w:p>
      <w:r>
        <w:t>Das Bundesgericht legt seinem Urteil den Sachverhalt zugrunde, den die Vorinstanz festgestellt hat ( Art. 105 Abs. 1 BGG ). Im vorliegenden Fall anerkennt die Beschwerdeführerin die zahlenmässige Bestimmung der entscheiderheblichen Beträge, wie sie von der Vorinstanz für die Bemessung des elterlichen Unterhaltsbeitrages vorgenommen wurde, ausdrücklich als "nicht streitig". Den diesbezüglichen Feststellungen ist zu entnehmen, dass der Beschwerdegegner bei voller Ausschöpfung seiner Arbeitskraft ein BGE 137 III 59 S. 65 Monatseinkommen von Fr. 3'348.- (exkl. Kinderzulagen) erzielen kann und seine jetzige Ehefrau keiner Erwerbstätigkeit nachgeht. Das Existenzminimum der gesamten Familie, das heisst des Beschwerdegegners, dessen zweiter Ehefrau und der von dieser geborenen Kinder, beläuft sich gemäss vorinstanzlichen Berechnungen auf Fr. 3'534.- (bis Ende Mai 2008), Fr. 3'876.- (bis Ende September 2009) bzw. Fr. 4'326.- (ab Oktober 2009). Das Obergericht hat ausserdem festgestellt, der Ehefrau des Beschwerdegegners könne zugemutet werden, eine Teilzeiterwerbstätigkeit aufzunehmen und ein (hypothetisches) Einkommen von monatlich Fr. 1'000.- zu erzielen; diese zusätzlichen Einnahmen seien den Einkünften der Familie des Beschwerdegegners ab Juni 2010 anzurechnen. Gestützt auf diese Feststellung gelangt die Vorinstanz zum Schluss, dass der Beschwerdegegner selbst unter Berücksichtigung des hypothetischen Einkommens seiner Ehefrau ab Juni 2010 bloss den Notbedarf seiner Familie (Fr. 4'326.-) decken kann und somit nicht in der Lage ist, die Unterhaltspflicht gegenüber seinen Kindern aus erster Ehe zu erfüllen.</w:t>
      </w:r>
    </w:p>
    <w:p>
      <w:r>
        <w:rPr>
          <w:b/>
        </w:rPr>
        <w:t>E. 4.3.2</w:t>
      </w:r>
    </w:p>
    <w:p>
      <w:r>
        <w:t>Aus diesen vorinstanzlichen Schlussfolgerungen bzw. aus den erstinstanzlichen Feststellungen im Urteil des Amtsgerichts vom 10. November 2009, auf welche die Vorinstanz ihre Erkenntnisse abstützt, geht hervor, dass das Obergericht des Kantons Luzern bei der Ermittlung der wirtschaftlichen Leistungsfähigkeit des Beschwerdegegners die in E. 4.2 dargelegten Regeln nicht befolgt und damit die in Art. 285 ZGB enthaltene Vorschrift falsch angewendet hat. Die vorinstanzliche Rechtsverletzung beruht zunächst darauf, dass das Obergericht nicht das Existenzminimum des Beschwerdegegners allein, sondern dasjenige seiner gesamten (zweiten) Familie ermittelt und bei der Prüfung seiner wirtschaftlichen Leistungsfähigkeit als Ganzes berücksichtigt hat. Anstatt alle kinder- und ehegattenbezogenen Positionen von der Berechnung auszuklammern, ist das Obergericht unter Einrechnung dieser Elemente zum falschen Schluss gelangt, der Beschwerdegegner könne selbst unter Anrechnung des hypothetischen Einkommens seiner zweiten Ehefrau ab Juni 2010 bloss den Notbedarf seiner Familie decken und daher die Unterhaltspflicht gegenüber seinen Kindern aus erster Ehe nicht erfüllen. Sodann hat das Obergericht auch gegen das Bundeszivilrecht verstossen, indem es die Kinderzulagen, die der Beschwerdegegner für seine zweitehelichen Kinder beanspruchen kann, von deren Grundbedarf nicht in Abzug gebracht hat. Diese Rechtsfehler haben zur Folge, dass der Beschwerdegegner gemäss dem angefochtenen BGE 137 III 59 S. 66 Urteil jedenfalls bei Mitberücksichtigung eines (hypothetischen) Einkommens seiner Ehefrau und bei Anrechnung der Kinderzulagen den Unterhalt seiner zweitehelichen Kinder über deren betreibungsrechtlichen Grundbedarf hinaus decken kann, während der Grundbedarf der erstehelichen Kinder überhaupt nicht oder - unter Berücksichtigung allfälliger Kinder- bzw. Ausbildungszulagen - nur teilweise gesichert ist.</w:t>
      </w:r>
    </w:p>
    <w:p>
      <w:r>
        <w:rPr>
          <w:b/>
        </w:rPr>
        <w:t>E. 4.4</w:t>
      </w:r>
    </w:p>
    <w:p>
      <w:r>
        <w:t>Im Ergebnis erweist sich die Beschwerde als begründet. Im Rahmen der Ermittlung der tatsächlichen wirtschaftlichen Leistungsfähigkeit des Beschwerdegegners nach den dargelegten Regeln (E. 4.2) wird das Obergericht auch zu berücksichtigen haben, dass den Einkünften der Familie des Beschwerdegegners ab Juni 2010 ein hypothetisches Einkommen seiner Ehefrau von monatlich Fr. 1'000.- anzurechnen ist. Das Obergericht wird prüfen müssen, ob und gegebenenfalls in welchem Ausmass die Ehefrau dem Beschwerdegegner in der Erfüllung seiner Unterhaltspflicht gegenüber seinen vorehelichen Kindern beizustehen hat, entsprechend der in Art. 278 Abs. 2 ZGB enthaltenen Vorschrift und den dazu entwickelten Grundsätzen (vgl. dazu Urteil 5A_352/2010 vom 29. Oktober 2010 E. 6.2.2 mit Hinweisen). In welcher Höhe die Beistandspflicht der Ehefrau des Beschwerdegegners im Einzelnen anzusetzen ist, bestimmt sich zunächst nach dem massgeblichen Grundbedarf der Kinder aus erster Ehe. Davon sind nach dem Gesagten (E. 4.2.3) wiederum allfällige Familienzulagen in Abzug zu bringen, die der Beschwerdegegner bezieht und der Beschwerdeführerin überweist. Ob er dies tatsächlich getan hat bzw. immer noch tut, nachdem die beiden jüngeren Kinder aus erster Ehe bereits am 28. Januar 2008 (B.) bzw. 7. Februar 2009 (C.) ihr sechzehntes Altersjahr vollendet haben, geht weder aus dem angefochtenen Entscheid noch aus den übrigen Akten hervor. Gestützt auf die tatsächlichen Feststellungen der Vorinstanz kann das Bundesgericht in der Sache selbst deshalb kein Urteil fällen.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